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right" w:pos="9046"/>
        </w:tabs>
        <w:spacing w:line="360" w:lineRule="auto"/>
        <w:ind w:left="708" w:firstLine="0"/>
        <w:jc w:val="right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</w:t>
      </w:r>
      <w:r>
        <w:rPr>
          <w:i w:val="1"/>
          <w:iCs w:val="1"/>
          <w:sz w:val="22"/>
          <w:szCs w:val="22"/>
          <w:rtl w:val="0"/>
        </w:rPr>
        <w:tab/>
        <w:tab/>
        <w:tab/>
        <w:tab/>
        <w:tab/>
        <w:t>………………</w:t>
      </w:r>
      <w:r>
        <w:rPr>
          <w:i w:val="1"/>
          <w:iCs w:val="1"/>
          <w:sz w:val="22"/>
          <w:szCs w:val="22"/>
          <w:rtl w:val="0"/>
        </w:rPr>
        <w:t xml:space="preserve">, dnia </w:t>
      </w:r>
      <w:r>
        <w:rPr>
          <w:i w:val="1"/>
          <w:iCs w:val="1"/>
          <w:sz w:val="22"/>
          <w:szCs w:val="22"/>
          <w:rtl w:val="0"/>
        </w:rPr>
        <w:t>………</w:t>
      </w:r>
      <w:r>
        <w:rPr>
          <w:i w:val="1"/>
          <w:iCs w:val="1"/>
          <w:sz w:val="22"/>
          <w:szCs w:val="22"/>
          <w:rtl w:val="0"/>
        </w:rPr>
        <w:t>.</w:t>
      </w:r>
    </w:p>
    <w:p>
      <w:pPr>
        <w:pStyle w:val="heading 2"/>
        <w:jc w:val="center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jc w:val="center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Oferta organizacji turnieju rankingowego</w:t>
      </w:r>
    </w:p>
    <w:p>
      <w:pPr>
        <w:pStyle w:val="heading 2"/>
        <w:jc w:val="center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Polskiego Towarzystwa Tanecznego na rok 2024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Ofert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  <w:lang w:val="it-IT"/>
        </w:rPr>
        <w:t>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oraz wys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drog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elektroniczn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 dw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ch wersjach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(1) wydrukowany i podpisany skan oferty oraz (2) 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niony plik zapisany w formacie .pdf </w:t>
      </w:r>
      <w:r>
        <w:rPr>
          <w:b w:val="1"/>
          <w:bCs w:val="1"/>
          <w:sz w:val="22"/>
          <w:szCs w:val="22"/>
          <w:rtl w:val="0"/>
        </w:rPr>
        <w:t>do dnia 31 maja 2023 r.</w:t>
      </w:r>
      <w:r>
        <w:rPr>
          <w:sz w:val="22"/>
          <w:szCs w:val="22"/>
          <w:rtl w:val="0"/>
        </w:rPr>
        <w:t xml:space="preserve"> na adres biura PTT: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"mailto:ptt@taniec.pl"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ptt@taniec.pl</w:t>
      </w:r>
      <w:r>
        <w:rPr/>
        <w:fldChar w:fldCharType="end" w:fldLock="0"/>
      </w:r>
    </w:p>
    <w:p>
      <w:pPr>
        <w:pStyle w:val="Normal.0"/>
        <w:tabs>
          <w:tab w:val="left" w:pos="1963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963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Oferta powinna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zapisy,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przeniesione na konkretne postanowienia umowne. Oferta musi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konkretne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informacje oraz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lone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dane liczbowe (w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wskazywa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jedynie dywagacji lub wide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cenowych).</w:t>
      </w:r>
    </w:p>
    <w:p>
      <w:pPr>
        <w:pStyle w:val="Normal.0"/>
        <w:tabs>
          <w:tab w:val="left" w:pos="1963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963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Informacje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Organizatora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Nazwa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onka wspieraj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PTT lub jednostki organizacyjnej PTT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Dane Organizatora (pe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nazwa, forma prawna)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nazwisko osoby reprezentuj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cej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Adres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NIP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REGON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wiadczenie Organizatora (organizacja turniej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ca, w tym mistrzowskich)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Opinia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ciwego Okr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gu PTT (w 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czniku do oferty)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Informacje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Turnieju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Organizator ubiega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organizacj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Turnieju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(Mistrzostwa Polski PTT, GPP PTT, itp.)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Nazwa Turnieju oraz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nazwa turnieju towarzysz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heading 5"/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Data Turnieju</w:t>
            </w:r>
          </w:p>
          <w:p>
            <w:pPr>
              <w:pStyle w:val="heading 5"/>
              <w:bidi w:val="0"/>
              <w:ind w:left="1008" w:right="0" w:hanging="1008"/>
              <w:jc w:val="left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zgodnie z kalendarzem na 2024 rok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Data alternatywna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Miejsce Turnieju (w tym nazwa obiektu, miejscowo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ść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adres)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Zakres imprezy towarzysz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cej (kategorie i klasy taneczne, planowane pokazy taneczne lub artystyczne)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Wsparcie lokalnych w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adz (w tym gminy, powiatu, wojew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dztwa)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Opis obiektu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Realizator nag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Realizator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wietlenia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Wielko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yty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wnej obiektu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Zaplecze techniczne dla uczestnik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w, widowni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Liczba miejsc siedz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na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widowni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Liczba szatni dla zawodnik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ich pojemno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Pojemno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parkingu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Zaplecze gastronomiczne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Serwis kawowy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Planowane elementy wystroju sali (o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wietlenie, telebim, ustawienie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ramp)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Koncepcja scenografii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Parkiet (rozk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adany/nierozk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adany, rodzaj, wielko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uwaga: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parkiet nie jest 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adany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informacj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nim widoczne linie do gier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Zaplecze hotelowe miejscowo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planowany jest Turniej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Oficjalny hotel Turnieju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Zalety komunikacyjne dla uczestnik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widz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Miejsca promowania Polskiego Towarzystwa Tanecznego przed i podczas Turnieju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(telebim, bandy reklamowe, social media, lokalne media,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cianki prasowe itp.)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Miejsca umieszczenia logotypu Polskiego Towarzystwa Tanecznego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dziowie i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uga Turnieju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Liczba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punktuj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dziowie zagraniczni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Hotel dla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(nazwa, adres, kategoria)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dziowski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Oddzielna garderoba i toaleta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Wynagrodzenie dla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ywienie (liczba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rodzaj 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Konferansjer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uga muzyczna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Orkiestra/muzyka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ywo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Uczestnicy Turnieju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Nagrody finansowe dla uczestnik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podzia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na kategorie oraz uzyskane miejsca)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Puchary dla uczestnik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podzia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na kategorie oraz uzyskane miejsca)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Medale dla uczestnik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podzia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na kategorie oraz uzyskane miejsca)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Dyplomy dla uczestnik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podzia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na kategorie oraz uzyskane miejsca)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Pozosta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nagrody i ich rodzaje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2"/>
          <w:szCs w:val="22"/>
          <w:rtl w:val="0"/>
          <w:lang w:val="nl-NL"/>
        </w:rPr>
      </w:pPr>
      <w:r>
        <w:rPr>
          <w:sz w:val="22"/>
          <w:szCs w:val="22"/>
          <w:rtl w:val="0"/>
          <w:lang w:val="nl-NL"/>
        </w:rPr>
        <w:t>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aty 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Cena biletu wst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 dla widza 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ich rodzaj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(jeden blok, ca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gala wieczorna)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Cena miejsca przy stoliku 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ich rodzaj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(jeden blok, ca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gala wieczorna)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Dodatkowy serwis przy stolikach (woda itp.)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Wysoko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aty startowej z 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lnieniem rodzaj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rozgrywanych kategorii Turnieju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Inne op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aty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Dodatkowe informacje mog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mie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 na ocen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oferty.</w:t>
      </w:r>
    </w:p>
    <w:p>
      <w:pPr>
        <w:pStyle w:val="Normal.0"/>
        <w:rPr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Otrzymanie przez Organizatora pozytywnej odpowiedzi na 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on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  <w:lang w:val="pt-PT"/>
        </w:rPr>
        <w:t>ofert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, 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wnie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z zastrze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eniem zmian lub uzupe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nie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niezmieniaj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cych istotnie tre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oferty, poczytuje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za jej przyj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cie. W takim wypadku strony wi</w:t>
      </w:r>
      <w:r>
        <w:rPr>
          <w:b w:val="1"/>
          <w:bCs w:val="1"/>
          <w:sz w:val="22"/>
          <w:szCs w:val="22"/>
          <w:rtl w:val="0"/>
        </w:rPr>
        <w:t>ąż</w:t>
      </w:r>
      <w:r>
        <w:rPr>
          <w:b w:val="1"/>
          <w:bCs w:val="1"/>
          <w:sz w:val="22"/>
          <w:szCs w:val="22"/>
          <w:rtl w:val="0"/>
        </w:rPr>
        <w:t>e umowa o tre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lonej w ofercie, z uwzgl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dnieniem ewentualnych zastrze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zawartych w odpowiedzi na ni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UWAGA!!! </w:t>
      </w:r>
    </w:p>
    <w:p>
      <w:pPr>
        <w:pStyle w:val="Normal.0"/>
        <w:tabs>
          <w:tab w:val="left" w:pos="1963"/>
        </w:tabs>
        <w:rPr>
          <w:sz w:val="22"/>
          <w:szCs w:val="22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oferta nie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otrzyma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owego biegu wskutek niezachowania 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formalnych, przewodnicz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komisji ds. MiTR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nl-NL"/>
        </w:rPr>
        <w:t>e wezwa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Organizatora, pod rygorem zwr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cenia oferty, do jej poprawienia lub uzupe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w terminie 3 dni lub zwr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pt-PT"/>
        </w:rPr>
        <w:t>ofert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bez jej rozpatrywania.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</w:pPr>
      <w:r>
        <w:rPr>
          <w:sz w:val="22"/>
          <w:szCs w:val="22"/>
          <w:rtl w:val="0"/>
        </w:rPr>
        <w:t>Organizator (podpis, piecz</w:t>
      </w:r>
      <w:r>
        <w:rPr>
          <w:sz w:val="22"/>
          <w:szCs w:val="22"/>
          <w:rtl w:val="0"/>
        </w:rPr>
        <w:t>ęć</w:t>
      </w:r>
      <w:r>
        <w:rPr>
          <w:sz w:val="22"/>
          <w:szCs w:val="22"/>
          <w:rtl w:val="0"/>
        </w:rPr>
        <w:t>):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sz w:val="22"/>
      <w:szCs w:val="22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008" w:right="0" w:hanging="1008"/>
      <w:jc w:val="left"/>
      <w:outlineLvl w:val="1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