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Uchwała Głównego Sądu Koleżeńskiego nr 1/2024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>.01</w:t>
      </w:r>
      <w:r>
        <w:rPr>
          <w:b/>
          <w:bCs/>
        </w:rPr>
        <w:t>.2024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w kwestii interpretacji przepisów </w:t>
      </w:r>
      <w:r>
        <w:rPr>
          <w:b/>
          <w:bCs/>
          <w:i/>
          <w:iCs/>
        </w:rPr>
        <w:t>Regulaminu sądów koleżeńskich Polskiego Towarzystwa Tanecznego</w:t>
      </w:r>
      <w:r>
        <w:rPr>
          <w:b/>
          <w:bCs/>
        </w:rPr>
        <w:t xml:space="preserve"> wynikłych z jego stosowania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rPr/>
      </w:pPr>
      <w:r>
        <w:rPr/>
        <w:t xml:space="preserve">Na podstawie art. 22 ust. 1 pkt. 4 </w:t>
      </w:r>
      <w:r>
        <w:rPr>
          <w:i/>
          <w:iCs/>
        </w:rPr>
        <w:t>Statutu Polskiego Towarzystwa Tanecznego</w:t>
      </w:r>
      <w:r>
        <w:rPr/>
        <w:t xml:space="preserve"> (zwanego dalej </w:t>
      </w:r>
      <w:r>
        <w:rPr>
          <w:i/>
          <w:iCs/>
        </w:rPr>
        <w:t>Statutem</w:t>
      </w:r>
      <w:r>
        <w:rPr/>
        <w:t>) Główny Sąd Koleżeński dla praktyki orzekania przez sądy koleżeńskie stanowi co następuje:</w:t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 xml:space="preserve">W przypadku, gdy </w:t>
      </w:r>
      <w:r>
        <w:rPr>
          <w:i/>
          <w:iCs/>
        </w:rPr>
        <w:t>Regulamin sądów koleżeńskich Polskiego Towarzystwa Tanecznego</w:t>
      </w:r>
      <w:r>
        <w:rPr/>
        <w:t xml:space="preserve"> (zwany dalej </w:t>
      </w:r>
      <w:r>
        <w:rPr>
          <w:i/>
          <w:iCs/>
        </w:rPr>
        <w:t>Regulaminem</w:t>
      </w:r>
      <w:r>
        <w:rPr/>
        <w:t>) przewiduje rozstrzyganie określonych kwestii przez skład orzekający na posiedzeniu niejawnym, niewymagającym udziału stron, posiedzenie takie może odbyć się w formie elektronicznej. Za priorytetowe uznać bowiem należy dochowanie regulaminowych terminów rozpatrywania spraw.</w:t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 xml:space="preserve">Od postanowień i decyzji składu orzekającego sądu koleżeńskiego rozstrzygających kwestie formalne i proceduralne oraz cząstkowe w danej sprawie zażalenie przysługuje wyłącznie wtedy, gdy </w:t>
      </w:r>
      <w:r>
        <w:rPr>
          <w:i/>
          <w:iCs/>
        </w:rPr>
        <w:t>Regulamin</w:t>
      </w:r>
      <w:r>
        <w:rPr/>
        <w:t xml:space="preserve"> przewiduje taką możliwość dla danego rodzaju kwestii. W pozostałych przypadkach są one ostateczne i prawomocne z chwilą podjęcia.</w:t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 xml:space="preserve">Orzeczenia Głównego Sądu Koleżeńskiego, o których mowa w § 29 ust. 2 pkt 3 </w:t>
      </w:r>
      <w:r>
        <w:rPr>
          <w:i/>
          <w:iCs/>
        </w:rPr>
        <w:t>Regulaminu</w:t>
      </w:r>
      <w:r>
        <w:rPr/>
        <w:t xml:space="preserve">, są wydawane w trybie nadzoru instancyjnego w odpowiedzi na skargę strony dotyczącą zgodności proceduralnej postępowania sądu koleżeńskiego ze </w:t>
      </w:r>
      <w:r>
        <w:rPr>
          <w:i/>
          <w:iCs/>
        </w:rPr>
        <w:t xml:space="preserve">Statutem </w:t>
      </w:r>
      <w:r>
        <w:rPr/>
        <w:t xml:space="preserve">i </w:t>
      </w:r>
      <w:r>
        <w:rPr>
          <w:i/>
          <w:iCs/>
        </w:rPr>
        <w:t>Regulaminem</w:t>
      </w:r>
      <w:r>
        <w:rPr/>
        <w:t xml:space="preserve"> w toku rozpatrywania danej sprawy oraz wnoszące o uchylenie orzeczenia dotkniętego istotną wadą prawną i przekazanie sprawy do ponownego rozpatrzenia przez sąd tej samej instancji. W związku z tym są one równorzędne orzeczeniom merytorycznym wydanym w II instancji w zakresie nieprzysługiwania stronom zwykłych środków odwoławczych, a co za tym idzie stają się prawomocne z chwilą wydania. </w:t>
      </w:r>
      <w:bookmarkStart w:id="0" w:name="_Hlk141453671"/>
      <w:r>
        <w:rPr/>
        <w:t xml:space="preserve">W oczywisty sposób, do tego rodzaju orzeczeń nie ma zatem zastosowania § 23 ust. 1 pkt 7 </w:t>
      </w:r>
      <w:bookmarkEnd w:id="0"/>
      <w:r>
        <w:rPr>
          <w:i/>
          <w:iCs/>
        </w:rPr>
        <w:t>Regulaminu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567" w:hanging="567"/>
        <w:rPr/>
      </w:pPr>
      <w:r>
        <w:rPr/>
        <w:t>Jeżeli względy szybkości i ekonomiczności post</w:t>
      </w:r>
      <w:r>
        <w:rPr/>
        <w:t>ę</w:t>
      </w:r>
      <w:r>
        <w:rPr/>
        <w:t>powania za tym przemawiają, a środki techniczne na to pozwalają, wystarczy, aby w posiedzeniu z udziałem stron, fizycznie uczestniczył jedynie przewodniczący składu orzekającego, o ile pozostali jego członkowie mają pełną możliwość uczestnictwa zdalnego, w tym obserwacji miejsca posiedzenia, słuchania wypowiedzi stron, świadków i biegłych oraz zadawania pytań. Podpisy pod protokołem i orzeczeniem od tych członków składu orzekającego, którzy uczestniczyli w posiedzeniu zdalnie, przewodniczący składu orzekającego zbiera metodą obiegową.</w:t>
      </w:r>
    </w:p>
    <w:p>
      <w:pPr>
        <w:pStyle w:val="Normal"/>
        <w:tabs>
          <w:tab w:val="clear" w:pos="708"/>
          <w:tab w:val="left" w:pos="567" w:leader="none"/>
        </w:tabs>
        <w:rPr>
          <w:color w:val="auto"/>
        </w:rPr>
      </w:pPr>
      <w:r>
        <w:rPr>
          <w:color w:val="auto"/>
        </w:rPr>
      </w:r>
    </w:p>
    <w:p>
      <w:pPr>
        <w:pStyle w:val="Normal"/>
        <w:keepNext w:val="true"/>
        <w:jc w:val="center"/>
        <w:rPr>
          <w:color w:val="auto"/>
        </w:rPr>
      </w:pPr>
      <w:r>
        <w:rPr>
          <w:color w:val="auto"/>
        </w:rPr>
        <w:t>§ 2</w:t>
      </w:r>
    </w:p>
    <w:p>
      <w:pPr>
        <w:pStyle w:val="Normal"/>
        <w:tabs>
          <w:tab w:val="clear" w:pos="708"/>
          <w:tab w:val="left" w:pos="567" w:leader="none"/>
        </w:tabs>
        <w:rPr>
          <w:color w:val="auto"/>
        </w:rPr>
      </w:pPr>
      <w:r>
        <w:rPr>
          <w:color w:val="auto"/>
        </w:rPr>
        <w:t>Uchwała wchodzi w życie z dniem 1</w:t>
      </w:r>
      <w:r>
        <w:rPr>
          <w:color w:val="auto"/>
        </w:rPr>
        <w:t>6</w:t>
      </w:r>
      <w:r>
        <w:rPr>
          <w:color w:val="auto"/>
        </w:rPr>
        <w:t xml:space="preserve"> stycznia 2024 roku i stosuje się również do wszystkich postępowań wszczętych, lecz nie zakończonych przed tą datą.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932942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Times New Roman" w:eastAsiaTheme="minorHAnsi"/>
      <w:color w:val="000000"/>
      <w:kern w:val="2"/>
      <w:sz w:val="24"/>
      <w:szCs w:val="24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2a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52ab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e716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e716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d5786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2a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a52a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e716e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D936-B4B7-4D57-A402-DA688C9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LibreOffice/7.2.2.2$Windows_X86_64 LibreOffice_project/02b2acce88a210515b4a5bb2e46cbfb63fe97d56</Application>
  <AppVersion>15.0000</AppVersion>
  <Pages>2</Pages>
  <Words>351</Words>
  <Characters>2238</Characters>
  <CharactersWithSpaces>2573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2023-07-28T13:42:00Z</dcterms:created>
  <dc:creator>Jarosław Jastrzębski</dc:creator>
  <dc:description/>
  <dc:language>pl-PL</dc:language>
  <cp:lastModifiedBy/>
  <cp:lastPrinted>2023-06-26T16:21:00Z</cp:lastPrinted>
  <dcterms:modified xsi:type="dcterms:W3CDTF">2024-01-16T12:58:09Z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